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0" w:type="auto"/>
        <w:jc w:val="center"/>
        <w:tblLayout w:type="fixed"/>
        <w:tblLook w:val="04A0" w:firstRow="1" w:lastRow="0" w:firstColumn="1" w:lastColumn="0" w:noHBand="0" w:noVBand="1"/>
        <w:tblDescription w:val="Brochure layout table"/>
      </w:tblPr>
      <w:tblGrid>
        <w:gridCol w:w="4565"/>
        <w:gridCol w:w="5285"/>
        <w:gridCol w:w="4565"/>
      </w:tblGrid>
      <w:tr w:rsidR="00307EC9" w:rsidTr="00307EC9">
        <w:trPr>
          <w:jc w:val="center"/>
        </w:trPr>
        <w:tc>
          <w:tcPr>
            <w:tcW w:w="4565" w:type="dxa"/>
            <w:tcMar>
              <w:right w:w="720" w:type="dxa"/>
            </w:tcMar>
          </w:tcPr>
          <w:p w:rsidR="00307EC9" w:rsidRDefault="00EA365E">
            <w:bookmarkStart w:id="0" w:name="_GoBack"/>
            <w:bookmarkEnd w:id="0"/>
            <w:r>
              <w:rPr>
                <w:noProof/>
                <w:lang w:eastAsia="en-US"/>
              </w:rPr>
              <w:drawing>
                <wp:inline distT="0" distB="0" distL="0" distR="0">
                  <wp:extent cx="2530366" cy="19907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eech-team-clipart-1.jpg"/>
                          <pic:cNvPicPr/>
                        </pic:nvPicPr>
                        <pic:blipFill>
                          <a:blip r:embed="rId10">
                            <a:extLst>
                              <a:ext uri="{28A0092B-C50C-407E-A947-70E740481C1C}">
                                <a14:useLocalDpi xmlns:a14="http://schemas.microsoft.com/office/drawing/2010/main" val="0"/>
                              </a:ext>
                            </a:extLst>
                          </a:blip>
                          <a:stretch>
                            <a:fillRect/>
                          </a:stretch>
                        </pic:blipFill>
                        <pic:spPr>
                          <a:xfrm>
                            <a:off x="0" y="0"/>
                            <a:ext cx="2544564" cy="2001895"/>
                          </a:xfrm>
                          <a:prstGeom prst="rect">
                            <a:avLst/>
                          </a:prstGeom>
                        </pic:spPr>
                      </pic:pic>
                    </a:graphicData>
                  </a:graphic>
                </wp:inline>
              </w:drawing>
            </w:r>
          </w:p>
          <w:p w:rsidR="00307EC9" w:rsidRPr="00711DDD" w:rsidRDefault="00ED0075" w:rsidP="00DD3104">
            <w:pPr>
              <w:pStyle w:val="Heading1"/>
              <w:spacing w:after="120"/>
            </w:pPr>
            <w:r w:rsidRPr="00711DDD">
              <w:t>How Does the Utilities Commission Make its Decisions?</w:t>
            </w:r>
          </w:p>
          <w:p w:rsidR="00ED0075" w:rsidRPr="00E279C2" w:rsidRDefault="00A15263" w:rsidP="00C67B3C">
            <w:pPr>
              <w:pStyle w:val="ListParagraph"/>
              <w:ind w:left="0"/>
              <w:rPr>
                <w:sz w:val="24"/>
              </w:rPr>
            </w:pPr>
            <w:r>
              <w:rPr>
                <w:sz w:val="24"/>
              </w:rPr>
              <w:t>T</w:t>
            </w:r>
            <w:r w:rsidR="00ED0075">
              <w:rPr>
                <w:sz w:val="24"/>
              </w:rPr>
              <w:t xml:space="preserve">he Commission </w:t>
            </w:r>
            <w:r>
              <w:rPr>
                <w:sz w:val="24"/>
              </w:rPr>
              <w:t xml:space="preserve">is required to </w:t>
            </w:r>
            <w:r w:rsidR="00ED0075">
              <w:rPr>
                <w:sz w:val="24"/>
              </w:rPr>
              <w:t>make decisions that are fair to customers and also fair to the utilities that we regulate</w:t>
            </w:r>
            <w:r w:rsidR="00C67B3C">
              <w:rPr>
                <w:sz w:val="24"/>
              </w:rPr>
              <w:t>, and our decisions</w:t>
            </w:r>
            <w:r w:rsidR="00340E23">
              <w:rPr>
                <w:sz w:val="24"/>
              </w:rPr>
              <w:t xml:space="preserve"> must be based on evidence and the law</w:t>
            </w:r>
            <w:r w:rsidR="00ED0075">
              <w:rPr>
                <w:sz w:val="24"/>
              </w:rPr>
              <w:t xml:space="preserve">. Commissioners </w:t>
            </w:r>
            <w:r w:rsidR="00DA5E9E">
              <w:rPr>
                <w:sz w:val="24"/>
              </w:rPr>
              <w:t>can</w:t>
            </w:r>
            <w:r w:rsidR="00ED0075">
              <w:rPr>
                <w:sz w:val="24"/>
              </w:rPr>
              <w:t xml:space="preserve">not have private conversations about a pending case with the utility or other parties. All of the testimony is </w:t>
            </w:r>
            <w:r w:rsidR="00DA5E9E">
              <w:rPr>
                <w:sz w:val="24"/>
              </w:rPr>
              <w:t>posted</w:t>
            </w:r>
            <w:r w:rsidR="00ED0075">
              <w:rPr>
                <w:sz w:val="24"/>
              </w:rPr>
              <w:t xml:space="preserve"> on our website except confidential trade secret information. </w:t>
            </w:r>
            <w:r w:rsidR="004573C3">
              <w:rPr>
                <w:sz w:val="24"/>
              </w:rPr>
              <w:t xml:space="preserve">It usually takes several months after the public witness hearings and the expert witness hearings before the Commission issues its decision. </w:t>
            </w:r>
          </w:p>
        </w:tc>
        <w:tc>
          <w:tcPr>
            <w:tcW w:w="5285" w:type="dxa"/>
            <w:tcMar>
              <w:left w:w="720" w:type="dxa"/>
              <w:righ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trPr>
                <w:trHeight w:hRule="exact" w:val="7920"/>
              </w:trPr>
              <w:tc>
                <w:tcPr>
                  <w:tcW w:w="5000" w:type="pct"/>
                </w:tcPr>
                <w:p w:rsidR="00307EC9" w:rsidRPr="00365EBB" w:rsidRDefault="00340E23" w:rsidP="00DD3104">
                  <w:pPr>
                    <w:pStyle w:val="Heading1"/>
                    <w:spacing w:after="120"/>
                  </w:pPr>
                  <w:r>
                    <w:t>Who We Are and What We Do</w:t>
                  </w:r>
                </w:p>
                <w:p w:rsidR="00ED0075" w:rsidRDefault="00AA60F2" w:rsidP="00ED0075">
                  <w:pPr>
                    <w:rPr>
                      <w:sz w:val="24"/>
                      <w:szCs w:val="24"/>
                    </w:rPr>
                  </w:pPr>
                  <w:r w:rsidRPr="00AA60F2">
                    <w:rPr>
                      <w:sz w:val="24"/>
                      <w:szCs w:val="24"/>
                    </w:rPr>
                    <w:t>The Utilities Commission regulates investor-owned companies that provide these services:</w:t>
                  </w:r>
                </w:p>
                <w:p w:rsidR="00AA60F2" w:rsidRPr="00340E23" w:rsidRDefault="00AA60F2" w:rsidP="00ED0075">
                  <w:pPr>
                    <w:pStyle w:val="ListParagraph"/>
                    <w:numPr>
                      <w:ilvl w:val="0"/>
                      <w:numId w:val="16"/>
                    </w:numPr>
                    <w:rPr>
                      <w:szCs w:val="24"/>
                    </w:rPr>
                  </w:pPr>
                  <w:r w:rsidRPr="00340E23">
                    <w:rPr>
                      <w:szCs w:val="24"/>
                    </w:rPr>
                    <w:t>Electricity</w:t>
                  </w:r>
                </w:p>
                <w:p w:rsidR="00AA60F2" w:rsidRPr="00340E23" w:rsidRDefault="00AA60F2" w:rsidP="00AA60F2">
                  <w:pPr>
                    <w:pStyle w:val="ListParagraph"/>
                    <w:numPr>
                      <w:ilvl w:val="0"/>
                      <w:numId w:val="16"/>
                    </w:numPr>
                    <w:rPr>
                      <w:szCs w:val="24"/>
                    </w:rPr>
                  </w:pPr>
                  <w:r w:rsidRPr="00340E23">
                    <w:rPr>
                      <w:szCs w:val="24"/>
                    </w:rPr>
                    <w:t>Natural Gas</w:t>
                  </w:r>
                </w:p>
                <w:p w:rsidR="00E279C2" w:rsidRPr="00340E23" w:rsidRDefault="00AA60F2" w:rsidP="00AA60F2">
                  <w:pPr>
                    <w:pStyle w:val="ListParagraph"/>
                    <w:numPr>
                      <w:ilvl w:val="0"/>
                      <w:numId w:val="16"/>
                    </w:numPr>
                    <w:rPr>
                      <w:szCs w:val="24"/>
                    </w:rPr>
                  </w:pPr>
                  <w:r w:rsidRPr="00340E23">
                    <w:rPr>
                      <w:szCs w:val="24"/>
                    </w:rPr>
                    <w:t xml:space="preserve">Water </w:t>
                  </w:r>
                </w:p>
                <w:p w:rsidR="00AA60F2" w:rsidRPr="00340E23" w:rsidRDefault="00AA60F2" w:rsidP="00AA60F2">
                  <w:pPr>
                    <w:pStyle w:val="ListParagraph"/>
                    <w:numPr>
                      <w:ilvl w:val="0"/>
                      <w:numId w:val="16"/>
                    </w:numPr>
                    <w:rPr>
                      <w:szCs w:val="24"/>
                    </w:rPr>
                  </w:pPr>
                  <w:r w:rsidRPr="00340E23">
                    <w:rPr>
                      <w:szCs w:val="24"/>
                    </w:rPr>
                    <w:t>Wastewater</w:t>
                  </w:r>
                  <w:r w:rsidR="00E279C2" w:rsidRPr="00340E23">
                    <w:rPr>
                      <w:szCs w:val="24"/>
                    </w:rPr>
                    <w:t xml:space="preserve"> Treatment</w:t>
                  </w:r>
                </w:p>
                <w:p w:rsidR="00AA60F2" w:rsidRPr="00340E23" w:rsidRDefault="00AA60F2" w:rsidP="00AA60F2">
                  <w:pPr>
                    <w:pStyle w:val="ListParagraph"/>
                    <w:numPr>
                      <w:ilvl w:val="0"/>
                      <w:numId w:val="16"/>
                    </w:numPr>
                    <w:rPr>
                      <w:szCs w:val="24"/>
                    </w:rPr>
                  </w:pPr>
                  <w:r w:rsidRPr="00340E23">
                    <w:rPr>
                      <w:szCs w:val="24"/>
                    </w:rPr>
                    <w:t>Telephone</w:t>
                  </w:r>
                </w:p>
                <w:p w:rsidR="00AA60F2" w:rsidRPr="00340E23" w:rsidRDefault="00AA60F2" w:rsidP="00AA60F2">
                  <w:pPr>
                    <w:pStyle w:val="ListParagraph"/>
                    <w:numPr>
                      <w:ilvl w:val="0"/>
                      <w:numId w:val="16"/>
                    </w:numPr>
                    <w:rPr>
                      <w:szCs w:val="24"/>
                    </w:rPr>
                  </w:pPr>
                  <w:r w:rsidRPr="00340E23">
                    <w:rPr>
                      <w:szCs w:val="24"/>
                    </w:rPr>
                    <w:t>Ferry Transportation</w:t>
                  </w:r>
                </w:p>
                <w:p w:rsidR="00AA60F2" w:rsidRPr="00340E23" w:rsidRDefault="00AA60F2" w:rsidP="00AA60F2">
                  <w:pPr>
                    <w:pStyle w:val="ListParagraph"/>
                    <w:numPr>
                      <w:ilvl w:val="0"/>
                      <w:numId w:val="16"/>
                    </w:numPr>
                    <w:rPr>
                      <w:szCs w:val="24"/>
                    </w:rPr>
                  </w:pPr>
                  <w:r w:rsidRPr="00340E23">
                    <w:rPr>
                      <w:szCs w:val="24"/>
                    </w:rPr>
                    <w:t>Household Goods Moving</w:t>
                  </w:r>
                </w:p>
                <w:p w:rsidR="00AA60F2" w:rsidRPr="00AA60F2" w:rsidRDefault="00AA60F2" w:rsidP="00AA60F2">
                  <w:pPr>
                    <w:pStyle w:val="ListParagraph"/>
                    <w:rPr>
                      <w:sz w:val="24"/>
                      <w:szCs w:val="24"/>
                    </w:rPr>
                  </w:pPr>
                </w:p>
                <w:p w:rsidR="00ED0075" w:rsidRDefault="00DA5E9E" w:rsidP="00ED0075">
                  <w:pPr>
                    <w:pStyle w:val="ListParagraph"/>
                    <w:ind w:left="25" w:hanging="25"/>
                  </w:pPr>
                  <w:r>
                    <w:rPr>
                      <w:sz w:val="24"/>
                      <w:szCs w:val="24"/>
                    </w:rPr>
                    <w:t>The Governor appoints the</w:t>
                  </w:r>
                  <w:r w:rsidR="00AA60F2" w:rsidRPr="00AA60F2">
                    <w:rPr>
                      <w:sz w:val="24"/>
                      <w:szCs w:val="24"/>
                    </w:rPr>
                    <w:t xml:space="preserve"> Commissioners</w:t>
                  </w:r>
                  <w:r>
                    <w:rPr>
                      <w:sz w:val="24"/>
                      <w:szCs w:val="24"/>
                    </w:rPr>
                    <w:t>,</w:t>
                  </w:r>
                  <w:r w:rsidR="00AA60F2" w:rsidRPr="00AA60F2">
                    <w:rPr>
                      <w:sz w:val="24"/>
                      <w:szCs w:val="24"/>
                    </w:rPr>
                    <w:t xml:space="preserve"> </w:t>
                  </w:r>
                  <w:r>
                    <w:rPr>
                      <w:sz w:val="24"/>
                      <w:szCs w:val="24"/>
                    </w:rPr>
                    <w:t>who must also be</w:t>
                  </w:r>
                  <w:r w:rsidR="00AA60F2" w:rsidRPr="00AA60F2">
                    <w:rPr>
                      <w:sz w:val="24"/>
                      <w:szCs w:val="24"/>
                    </w:rPr>
                    <w:t xml:space="preserve"> approved by the General Assembly.</w:t>
                  </w:r>
                  <w:r w:rsidR="00C67B3C">
                    <w:rPr>
                      <w:sz w:val="24"/>
                      <w:szCs w:val="24"/>
                    </w:rPr>
                    <w:t xml:space="preserve"> Commissioners</w:t>
                  </w:r>
                  <w:r w:rsidR="00ED0075">
                    <w:rPr>
                      <w:sz w:val="24"/>
                      <w:szCs w:val="24"/>
                    </w:rPr>
                    <w:t xml:space="preserve"> are prohibited from having a personal stake in the decisions they make, and they cannot hold any other job or run a business </w:t>
                  </w:r>
                  <w:r w:rsidR="00C56A1F">
                    <w:rPr>
                      <w:sz w:val="24"/>
                      <w:szCs w:val="24"/>
                    </w:rPr>
                    <w:t>while they serve as C</w:t>
                  </w:r>
                  <w:r w:rsidR="00FB2177">
                    <w:rPr>
                      <w:sz w:val="24"/>
                      <w:szCs w:val="24"/>
                    </w:rPr>
                    <w:t xml:space="preserve">ommissioners. </w:t>
                  </w:r>
                </w:p>
                <w:p w:rsidR="00AA60F2" w:rsidRDefault="00AA60F2" w:rsidP="00ED0075"/>
              </w:tc>
            </w:tr>
            <w:tr w:rsidR="00307EC9">
              <w:trPr>
                <w:trHeight w:hRule="exact" w:val="2880"/>
              </w:trPr>
              <w:tc>
                <w:tcPr>
                  <w:tcW w:w="5000" w:type="pct"/>
                  <w:vAlign w:val="bottom"/>
                </w:tcPr>
                <w:tbl>
                  <w:tblPr>
                    <w:tblW w:w="11474" w:type="dxa"/>
                    <w:tblLayout w:type="fixed"/>
                    <w:tblCellMar>
                      <w:left w:w="0" w:type="dxa"/>
                      <w:right w:w="0" w:type="dxa"/>
                    </w:tblCellMar>
                    <w:tblLook w:val="04A0" w:firstRow="1" w:lastRow="0" w:firstColumn="1" w:lastColumn="0" w:noHBand="0" w:noVBand="1"/>
                    <w:tblDescription w:val="Company layout table"/>
                  </w:tblPr>
                  <w:tblGrid>
                    <w:gridCol w:w="29"/>
                    <w:gridCol w:w="3815"/>
                    <w:gridCol w:w="3815"/>
                    <w:gridCol w:w="3815"/>
                  </w:tblGrid>
                  <w:tr w:rsidR="004573C3" w:rsidTr="004573C3">
                    <w:trPr>
                      <w:trHeight w:val="471"/>
                    </w:trPr>
                    <w:tc>
                      <w:tcPr>
                        <w:tcW w:w="29" w:type="dxa"/>
                        <w:vAlign w:val="center"/>
                      </w:tcPr>
                      <w:p w:rsidR="004573C3" w:rsidRPr="001947E7" w:rsidRDefault="004573C3" w:rsidP="001947E7">
                        <w:pPr>
                          <w:pStyle w:val="NoSpacing"/>
                        </w:pPr>
                      </w:p>
                    </w:tc>
                    <w:tc>
                      <w:tcPr>
                        <w:tcW w:w="3815" w:type="dxa"/>
                        <w:tcMar>
                          <w:left w:w="274" w:type="dxa"/>
                        </w:tcMar>
                      </w:tcPr>
                      <w:sdt>
                        <w:sdtPr>
                          <w:rPr>
                            <w:color w:val="0070C0"/>
                          </w:rPr>
                          <w:alias w:val="Enter Company Name:"/>
                          <w:tag w:val="Enter Company Name:"/>
                          <w:id w:val="-1839532679"/>
                          <w:placeholder>
                            <w:docPart w:val="E680761509654C8FBEABC30B2B6B66FF"/>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4573C3" w:rsidRPr="00711DDD" w:rsidRDefault="00E656CC" w:rsidP="008D6E0A">
                            <w:pPr>
                              <w:pStyle w:val="Company"/>
                              <w:ind w:left="-8" w:right="288"/>
                              <w:jc w:val="center"/>
                              <w:rPr>
                                <w:color w:val="0070C0"/>
                              </w:rPr>
                            </w:pPr>
                            <w:r>
                              <w:rPr>
                                <w:color w:val="0070C0"/>
                              </w:rPr>
                              <w:t xml:space="preserve">North carolina </w:t>
                            </w:r>
                            <w:r w:rsidR="00DD3104">
                              <w:rPr>
                                <w:color w:val="0070C0"/>
                              </w:rPr>
                              <w:t xml:space="preserve">    </w:t>
                            </w:r>
                            <w:r w:rsidR="008D6E0A">
                              <w:rPr>
                                <w:color w:val="0070C0"/>
                              </w:rPr>
                              <w:t xml:space="preserve">           </w:t>
                            </w:r>
                            <w:r w:rsidR="00DD3104">
                              <w:rPr>
                                <w:color w:val="0070C0"/>
                              </w:rPr>
                              <w:t xml:space="preserve">     </w:t>
                            </w:r>
                            <w:r>
                              <w:rPr>
                                <w:color w:val="0070C0"/>
                              </w:rPr>
                              <w:t>UTILITIES Commission</w:t>
                            </w:r>
                          </w:p>
                        </w:sdtContent>
                      </w:sdt>
                      <w:p w:rsidR="004573C3" w:rsidRPr="00711DDD" w:rsidRDefault="004573C3" w:rsidP="008D6E0A">
                        <w:pPr>
                          <w:pStyle w:val="ContactInfo"/>
                          <w:ind w:left="-278"/>
                          <w:jc w:val="center"/>
                          <w:rPr>
                            <w:color w:val="0070C0"/>
                          </w:rPr>
                        </w:pPr>
                        <w:r w:rsidRPr="00711DDD">
                          <w:rPr>
                            <w:color w:val="0070C0"/>
                          </w:rPr>
                          <w:t>4325 Mail Service Center</w:t>
                        </w:r>
                      </w:p>
                      <w:p w:rsidR="004573C3" w:rsidRDefault="004573C3" w:rsidP="008D6E0A">
                        <w:pPr>
                          <w:pStyle w:val="ContactInfo"/>
                          <w:ind w:left="-278"/>
                          <w:jc w:val="center"/>
                          <w:rPr>
                            <w:color w:val="0070C0"/>
                          </w:rPr>
                        </w:pPr>
                        <w:r w:rsidRPr="00711DDD">
                          <w:rPr>
                            <w:color w:val="0070C0"/>
                          </w:rPr>
                          <w:t>Raleigh, NC 27699-4300</w:t>
                        </w:r>
                        <w:r>
                          <w:rPr>
                            <w:color w:val="0070C0"/>
                          </w:rPr>
                          <w:t xml:space="preserve"> </w:t>
                        </w:r>
                      </w:p>
                      <w:p w:rsidR="004573C3" w:rsidRDefault="004573C3" w:rsidP="008D6E0A">
                        <w:pPr>
                          <w:pStyle w:val="ContactInfo"/>
                          <w:ind w:left="-278"/>
                          <w:jc w:val="center"/>
                          <w:rPr>
                            <w:color w:val="0070C0"/>
                          </w:rPr>
                        </w:pPr>
                        <w:r>
                          <w:rPr>
                            <w:color w:val="0070C0"/>
                          </w:rPr>
                          <w:t>919-733-7328</w:t>
                        </w:r>
                      </w:p>
                      <w:p w:rsidR="004573C3" w:rsidRDefault="004573C3" w:rsidP="008D6E0A">
                        <w:pPr>
                          <w:pStyle w:val="ContactInfo"/>
                          <w:ind w:left="-278"/>
                          <w:jc w:val="center"/>
                        </w:pPr>
                        <w:r>
                          <w:rPr>
                            <w:color w:val="0070C0"/>
                          </w:rPr>
                          <w:t>www.ncuc.net</w:t>
                        </w:r>
                      </w:p>
                    </w:tc>
                    <w:tc>
                      <w:tcPr>
                        <w:tcW w:w="3815" w:type="dxa"/>
                      </w:tcPr>
                      <w:p w:rsidR="004573C3" w:rsidRDefault="004573C3" w:rsidP="00711DDD">
                        <w:pPr>
                          <w:pStyle w:val="Company"/>
                          <w:ind w:left="288" w:right="288"/>
                          <w:jc w:val="center"/>
                          <w:rPr>
                            <w:color w:val="0070C0"/>
                          </w:rPr>
                        </w:pPr>
                      </w:p>
                    </w:tc>
                    <w:tc>
                      <w:tcPr>
                        <w:tcW w:w="3815" w:type="dxa"/>
                      </w:tcPr>
                      <w:p w:rsidR="004573C3" w:rsidRDefault="004573C3" w:rsidP="00711DDD">
                        <w:pPr>
                          <w:pStyle w:val="Company"/>
                          <w:ind w:left="288" w:right="288"/>
                          <w:jc w:val="center"/>
                          <w:rPr>
                            <w:color w:val="0070C0"/>
                          </w:rPr>
                        </w:pPr>
                      </w:p>
                    </w:tc>
                  </w:tr>
                </w:tbl>
                <w:p w:rsidR="00307EC9" w:rsidRDefault="00307EC9"/>
              </w:tc>
            </w:tr>
          </w:tbl>
          <w:p w:rsidR="00307EC9" w:rsidRDefault="00307EC9"/>
        </w:tc>
        <w:tc>
          <w:tcPr>
            <w:tcW w:w="4565" w:type="dxa"/>
            <w:tcMar>
              <w:lef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rsidTr="00C739CB">
              <w:trPr>
                <w:trHeight w:hRule="exact" w:val="6741"/>
              </w:trPr>
              <w:tc>
                <w:tcPr>
                  <w:tcW w:w="5000" w:type="pct"/>
                </w:tcPr>
                <w:p w:rsidR="00307EC9" w:rsidRDefault="00C739CB">
                  <w:r>
                    <w:object w:dxaOrig="3480" w:dyaOrig="6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332.25pt" o:ole="">
                        <v:imagedata r:id="rId11" o:title=""/>
                      </v:shape>
                      <o:OLEObject Type="Embed" ProgID="PBrush" ShapeID="_x0000_i1025" DrawAspect="Content" ObjectID="_1600687522" r:id="rId12"/>
                    </w:object>
                  </w:r>
                </w:p>
              </w:tc>
            </w:tr>
            <w:tr w:rsidR="00307EC9" w:rsidTr="00C739CB">
              <w:trPr>
                <w:trHeight w:hRule="exact" w:val="88"/>
              </w:trPr>
              <w:tc>
                <w:tcPr>
                  <w:tcW w:w="5000" w:type="pct"/>
                </w:tcPr>
                <w:p w:rsidR="00307EC9" w:rsidRDefault="00307EC9"/>
              </w:tc>
            </w:tr>
            <w:tr w:rsidR="00307EC9" w:rsidTr="00C739CB">
              <w:trPr>
                <w:trHeight w:hRule="exact" w:val="1800"/>
              </w:trPr>
              <w:tc>
                <w:tcPr>
                  <w:tcW w:w="5000" w:type="pct"/>
                  <w:shd w:val="clear" w:color="auto" w:fill="auto"/>
                </w:tcPr>
                <w:p w:rsidR="00307EC9" w:rsidRPr="00592F8F" w:rsidRDefault="00D21D0F" w:rsidP="00C739CB">
                  <w:pPr>
                    <w:pStyle w:val="Title"/>
                    <w:spacing w:before="480"/>
                    <w:ind w:left="0" w:right="0"/>
                    <w:rPr>
                      <w:color w:val="0070C0"/>
                      <w:spacing w:val="-4"/>
                    </w:rPr>
                  </w:pPr>
                  <w:r w:rsidRPr="00592F8F">
                    <w:rPr>
                      <w:color w:val="0070C0"/>
                      <w:spacing w:val="-4"/>
                      <w:sz w:val="40"/>
                      <w:szCs w:val="40"/>
                    </w:rPr>
                    <w:t xml:space="preserve">North carolina utilities </w:t>
                  </w:r>
                  <w:r w:rsidR="00D61E3B" w:rsidRPr="00592F8F">
                    <w:rPr>
                      <w:color w:val="0070C0"/>
                      <w:spacing w:val="-4"/>
                      <w:sz w:val="40"/>
                      <w:szCs w:val="40"/>
                    </w:rPr>
                    <w:t>Commission</w:t>
                  </w:r>
                </w:p>
              </w:tc>
            </w:tr>
            <w:tr w:rsidR="00307EC9" w:rsidTr="007510BC">
              <w:trPr>
                <w:trHeight w:hRule="exact" w:val="1611"/>
              </w:trPr>
              <w:tc>
                <w:tcPr>
                  <w:tcW w:w="5000" w:type="pct"/>
                  <w:shd w:val="clear" w:color="auto" w:fill="auto"/>
                  <w:vAlign w:val="bottom"/>
                </w:tcPr>
                <w:p w:rsidR="00165EF7" w:rsidRPr="007510BC" w:rsidRDefault="00D21D0F" w:rsidP="00D21D0F">
                  <w:pPr>
                    <w:pStyle w:val="Subtitle"/>
                    <w:rPr>
                      <w:color w:val="0070C0"/>
                      <w:sz w:val="40"/>
                      <w:szCs w:val="40"/>
                    </w:rPr>
                  </w:pPr>
                  <w:r w:rsidRPr="007510BC">
                    <w:rPr>
                      <w:color w:val="0070C0"/>
                      <w:sz w:val="40"/>
                      <w:szCs w:val="40"/>
                    </w:rPr>
                    <w:t xml:space="preserve">How to Provide Public Witness Testimony  </w:t>
                  </w:r>
                </w:p>
              </w:tc>
            </w:tr>
          </w:tbl>
          <w:p w:rsidR="00307EC9" w:rsidRDefault="00307EC9"/>
        </w:tc>
      </w:tr>
      <w:tr w:rsidR="00307EC9" w:rsidTr="00641138">
        <w:trPr>
          <w:trHeight w:val="88"/>
          <w:jc w:val="center"/>
        </w:trPr>
        <w:tc>
          <w:tcPr>
            <w:tcW w:w="4565" w:type="dxa"/>
            <w:tcMar>
              <w:right w:w="720" w:type="dxa"/>
            </w:tcMar>
          </w:tcPr>
          <w:p w:rsidR="00307EC9" w:rsidRPr="00711DDD" w:rsidRDefault="008B0FA6" w:rsidP="00DD3104">
            <w:pPr>
              <w:pStyle w:val="Heading1"/>
              <w:spacing w:after="120"/>
            </w:pPr>
            <w:r w:rsidRPr="00711DDD">
              <w:lastRenderedPageBreak/>
              <w:t>Why Does the Commission Hold Public Witness Hearings?</w:t>
            </w:r>
          </w:p>
          <w:p w:rsidR="00340E23" w:rsidRDefault="008B0FA6" w:rsidP="004573C3">
            <w:pPr>
              <w:rPr>
                <w:sz w:val="24"/>
                <w:szCs w:val="24"/>
              </w:rPr>
            </w:pPr>
            <w:r w:rsidRPr="006540EA">
              <w:rPr>
                <w:sz w:val="24"/>
                <w:szCs w:val="24"/>
              </w:rPr>
              <w:t xml:space="preserve">The Utilities Commission decides whether </w:t>
            </w:r>
            <w:r w:rsidR="006312CC" w:rsidRPr="006540EA">
              <w:rPr>
                <w:sz w:val="24"/>
                <w:szCs w:val="24"/>
              </w:rPr>
              <w:t xml:space="preserve">investor-owned </w:t>
            </w:r>
            <w:r w:rsidRPr="006540EA">
              <w:rPr>
                <w:sz w:val="24"/>
                <w:szCs w:val="24"/>
              </w:rPr>
              <w:t xml:space="preserve">utilities </w:t>
            </w:r>
            <w:r w:rsidR="00340E23">
              <w:rPr>
                <w:sz w:val="24"/>
                <w:szCs w:val="24"/>
              </w:rPr>
              <w:t>may</w:t>
            </w:r>
            <w:r w:rsidR="00DD3104">
              <w:rPr>
                <w:sz w:val="24"/>
                <w:szCs w:val="24"/>
              </w:rPr>
              <w:t xml:space="preserve"> increase their prices</w:t>
            </w:r>
            <w:r w:rsidRPr="006540EA">
              <w:rPr>
                <w:sz w:val="24"/>
                <w:szCs w:val="24"/>
              </w:rPr>
              <w:t xml:space="preserve"> and whether new utility facilities </w:t>
            </w:r>
            <w:r w:rsidR="00340E23">
              <w:rPr>
                <w:sz w:val="24"/>
                <w:szCs w:val="24"/>
              </w:rPr>
              <w:t>may be built</w:t>
            </w:r>
            <w:r w:rsidRPr="006540EA">
              <w:rPr>
                <w:sz w:val="24"/>
                <w:szCs w:val="24"/>
              </w:rPr>
              <w:t>.</w:t>
            </w:r>
            <w:r w:rsidR="00340E23">
              <w:rPr>
                <w:sz w:val="24"/>
                <w:szCs w:val="24"/>
              </w:rPr>
              <w:t xml:space="preserve"> D</w:t>
            </w:r>
            <w:r w:rsidRPr="006540EA">
              <w:rPr>
                <w:sz w:val="24"/>
                <w:szCs w:val="24"/>
              </w:rPr>
              <w:t xml:space="preserve">ecisions </w:t>
            </w:r>
            <w:r w:rsidR="00340E23">
              <w:rPr>
                <w:sz w:val="24"/>
                <w:szCs w:val="24"/>
              </w:rPr>
              <w:t xml:space="preserve">are based </w:t>
            </w:r>
            <w:r w:rsidRPr="006540EA">
              <w:rPr>
                <w:sz w:val="24"/>
                <w:szCs w:val="24"/>
              </w:rPr>
              <w:t xml:space="preserve">on </w:t>
            </w:r>
            <w:r w:rsidR="00B03F98">
              <w:rPr>
                <w:sz w:val="24"/>
                <w:szCs w:val="24"/>
              </w:rPr>
              <w:t xml:space="preserve">the evidence and the law. </w:t>
            </w:r>
            <w:r w:rsidR="004D2CBA">
              <w:rPr>
                <w:sz w:val="24"/>
                <w:szCs w:val="24"/>
              </w:rPr>
              <w:t xml:space="preserve"> Some proceedings, such as integrated resource planning for electric utilities, help identify policy issues regarding the provision of utility service into the future. In these instances, the Commission’s decisions typically don’t have a direct and immediate impact on customers.</w:t>
            </w:r>
          </w:p>
          <w:p w:rsidR="008B0FA6" w:rsidRPr="008B0FA6" w:rsidRDefault="00B03F98" w:rsidP="00F21088">
            <w:pPr>
              <w:rPr>
                <w:sz w:val="24"/>
                <w:szCs w:val="24"/>
              </w:rPr>
            </w:pPr>
            <w:r>
              <w:rPr>
                <w:sz w:val="24"/>
                <w:szCs w:val="24"/>
              </w:rPr>
              <w:t>Customer</w:t>
            </w:r>
            <w:r w:rsidR="008B0FA6" w:rsidRPr="006540EA">
              <w:rPr>
                <w:sz w:val="24"/>
                <w:szCs w:val="24"/>
              </w:rPr>
              <w:t xml:space="preserve"> witness hearings </w:t>
            </w:r>
            <w:r w:rsidR="00340E23">
              <w:rPr>
                <w:sz w:val="24"/>
                <w:szCs w:val="24"/>
              </w:rPr>
              <w:t xml:space="preserve">allow the public to present evidence on how decisions on </w:t>
            </w:r>
            <w:r w:rsidR="004D2CBA">
              <w:rPr>
                <w:sz w:val="24"/>
                <w:szCs w:val="24"/>
              </w:rPr>
              <w:t xml:space="preserve">long-term utility planning options </w:t>
            </w:r>
            <w:r w:rsidR="00340E23">
              <w:rPr>
                <w:sz w:val="24"/>
                <w:szCs w:val="24"/>
              </w:rPr>
              <w:t>might impact customers and their communities</w:t>
            </w:r>
            <w:r w:rsidR="008B0FA6" w:rsidRPr="006540EA">
              <w:rPr>
                <w:sz w:val="24"/>
                <w:szCs w:val="24"/>
              </w:rPr>
              <w:t>.</w:t>
            </w:r>
            <w:r w:rsidR="006540EA">
              <w:rPr>
                <w:sz w:val="24"/>
                <w:szCs w:val="24"/>
              </w:rPr>
              <w:t xml:space="preserve"> </w:t>
            </w:r>
            <w:r w:rsidR="004D2CBA">
              <w:rPr>
                <w:sz w:val="24"/>
                <w:szCs w:val="24"/>
              </w:rPr>
              <w:t xml:space="preserve"> </w:t>
            </w:r>
            <w:r w:rsidR="00BC5C9A">
              <w:rPr>
                <w:sz w:val="24"/>
                <w:szCs w:val="24"/>
              </w:rPr>
              <w:t>Sometimes t</w:t>
            </w:r>
            <w:r w:rsidR="006540EA">
              <w:rPr>
                <w:sz w:val="24"/>
                <w:szCs w:val="24"/>
              </w:rPr>
              <w:t xml:space="preserve">he Commission also holds expert witness hearings where the utility’s </w:t>
            </w:r>
            <w:r w:rsidR="004573C3" w:rsidRPr="00340E23">
              <w:rPr>
                <w:sz w:val="24"/>
                <w:szCs w:val="24"/>
              </w:rPr>
              <w:t>and other intervenors’</w:t>
            </w:r>
            <w:r w:rsidR="004573C3">
              <w:rPr>
                <w:sz w:val="24"/>
                <w:szCs w:val="24"/>
              </w:rPr>
              <w:t xml:space="preserve"> </w:t>
            </w:r>
            <w:r w:rsidR="006540EA">
              <w:rPr>
                <w:sz w:val="24"/>
                <w:szCs w:val="24"/>
              </w:rPr>
              <w:t xml:space="preserve">experts testify </w:t>
            </w:r>
            <w:r w:rsidR="00F21088">
              <w:rPr>
                <w:sz w:val="24"/>
                <w:szCs w:val="24"/>
              </w:rPr>
              <w:t>and are</w:t>
            </w:r>
            <w:r w:rsidR="00DA5E9E">
              <w:rPr>
                <w:sz w:val="24"/>
                <w:szCs w:val="24"/>
              </w:rPr>
              <w:t xml:space="preserve"> available for questions</w:t>
            </w:r>
            <w:r w:rsidR="006540EA">
              <w:rPr>
                <w:sz w:val="24"/>
                <w:szCs w:val="24"/>
              </w:rPr>
              <w:t xml:space="preserve">. </w:t>
            </w:r>
          </w:p>
        </w:tc>
        <w:tc>
          <w:tcPr>
            <w:tcW w:w="5285" w:type="dxa"/>
            <w:tcMar>
              <w:left w:w="720" w:type="dxa"/>
              <w:right w:w="720" w:type="dxa"/>
            </w:tcMar>
          </w:tcPr>
          <w:p w:rsidR="00307EC9" w:rsidRPr="00711DDD" w:rsidRDefault="008B0FA6" w:rsidP="00DD3104">
            <w:pPr>
              <w:pStyle w:val="Heading1"/>
              <w:spacing w:after="120"/>
              <w:rPr>
                <w:rStyle w:val="Heading2Char"/>
                <w:b/>
                <w:bCs/>
                <w:color w:val="0070C0"/>
                <w:szCs w:val="24"/>
              </w:rPr>
            </w:pPr>
            <w:r w:rsidRPr="00711DDD">
              <w:t>If You Want to Testify</w:t>
            </w:r>
          </w:p>
          <w:p w:rsidR="00307EC9" w:rsidRPr="00DD3104" w:rsidRDefault="00C67B3C">
            <w:pPr>
              <w:rPr>
                <w:sz w:val="23"/>
                <w:szCs w:val="23"/>
              </w:rPr>
            </w:pPr>
            <w:r w:rsidRPr="00DD3104">
              <w:rPr>
                <w:sz w:val="23"/>
                <w:szCs w:val="23"/>
              </w:rPr>
              <w:t>Public witnesses should</w:t>
            </w:r>
            <w:r w:rsidR="008B0FA6" w:rsidRPr="00DD3104">
              <w:rPr>
                <w:sz w:val="23"/>
                <w:szCs w:val="23"/>
              </w:rPr>
              <w:t xml:space="preserve"> sign up</w:t>
            </w:r>
            <w:r w:rsidRPr="00DD3104">
              <w:rPr>
                <w:sz w:val="23"/>
                <w:szCs w:val="23"/>
              </w:rPr>
              <w:t xml:space="preserve"> to testify; a sign-up sheet should be available </w:t>
            </w:r>
            <w:r w:rsidR="008B0FA6" w:rsidRPr="00DD3104">
              <w:rPr>
                <w:sz w:val="23"/>
                <w:szCs w:val="23"/>
              </w:rPr>
              <w:t>when you enter the courtroom. When</w:t>
            </w:r>
            <w:r w:rsidR="00FB2177" w:rsidRPr="00DD3104">
              <w:rPr>
                <w:sz w:val="23"/>
                <w:szCs w:val="23"/>
              </w:rPr>
              <w:t xml:space="preserve"> you are called to testify, you wi</w:t>
            </w:r>
            <w:r w:rsidR="008B0FA6" w:rsidRPr="00DD3104">
              <w:rPr>
                <w:sz w:val="23"/>
                <w:szCs w:val="23"/>
              </w:rPr>
              <w:t xml:space="preserve">ll be asked to state your name and address, and to take an oath or attest that your statement will be true. </w:t>
            </w:r>
            <w:r w:rsidR="004573C3" w:rsidRPr="00DD3104">
              <w:rPr>
                <w:sz w:val="23"/>
                <w:szCs w:val="23"/>
              </w:rPr>
              <w:t>We do not allow signs,</w:t>
            </w:r>
            <w:r w:rsidR="00FB2177" w:rsidRPr="00DD3104">
              <w:rPr>
                <w:sz w:val="23"/>
                <w:szCs w:val="23"/>
              </w:rPr>
              <w:t xml:space="preserve"> placards</w:t>
            </w:r>
            <w:r w:rsidR="004573C3" w:rsidRPr="00DD3104">
              <w:rPr>
                <w:sz w:val="23"/>
                <w:szCs w:val="23"/>
              </w:rPr>
              <w:t xml:space="preserve">, skits or other forms of demonstration </w:t>
            </w:r>
            <w:r w:rsidR="002244D9" w:rsidRPr="00DD3104">
              <w:rPr>
                <w:sz w:val="23"/>
                <w:szCs w:val="23"/>
              </w:rPr>
              <w:t>in the courtroom.</w:t>
            </w:r>
            <w:r w:rsidR="00B03F98" w:rsidRPr="00DD3104">
              <w:rPr>
                <w:sz w:val="23"/>
                <w:szCs w:val="23"/>
              </w:rPr>
              <w:t xml:space="preserve"> </w:t>
            </w:r>
          </w:p>
          <w:p w:rsidR="00307EC9" w:rsidRPr="00C67B3C" w:rsidRDefault="008B0FA6" w:rsidP="00DD3104">
            <w:pPr>
              <w:pStyle w:val="Quote"/>
              <w:spacing w:before="400" w:after="400"/>
              <w:rPr>
                <w:rStyle w:val="QuoteChar"/>
                <w:i/>
                <w:iCs/>
                <w:color w:val="0070C0"/>
                <w:sz w:val="24"/>
              </w:rPr>
            </w:pPr>
            <w:r w:rsidRPr="00C67B3C">
              <w:rPr>
                <w:color w:val="0070C0"/>
                <w:sz w:val="24"/>
              </w:rPr>
              <w:t>The best testimony is brief, to the point, and provides new information.</w:t>
            </w:r>
          </w:p>
          <w:p w:rsidR="00307EC9" w:rsidRPr="0063311A" w:rsidRDefault="00FB2177" w:rsidP="00641138">
            <w:r w:rsidRPr="00DD3104">
              <w:rPr>
                <w:sz w:val="23"/>
                <w:szCs w:val="23"/>
              </w:rPr>
              <w:t>When many</w:t>
            </w:r>
            <w:r w:rsidR="006312CC" w:rsidRPr="00DD3104">
              <w:rPr>
                <w:sz w:val="23"/>
                <w:szCs w:val="23"/>
              </w:rPr>
              <w:t xml:space="preserve"> people want to speak, we </w:t>
            </w:r>
            <w:r w:rsidR="00340E23" w:rsidRPr="00DD3104">
              <w:rPr>
                <w:sz w:val="23"/>
                <w:szCs w:val="23"/>
              </w:rPr>
              <w:t xml:space="preserve">may </w:t>
            </w:r>
            <w:r w:rsidR="006312CC" w:rsidRPr="00DD3104">
              <w:rPr>
                <w:sz w:val="23"/>
                <w:szCs w:val="23"/>
              </w:rPr>
              <w:t xml:space="preserve">limit each person to five minutes or less. </w:t>
            </w:r>
            <w:r w:rsidR="00340E23" w:rsidRPr="00DD3104">
              <w:rPr>
                <w:sz w:val="23"/>
                <w:szCs w:val="23"/>
              </w:rPr>
              <w:t>Testimony is</w:t>
            </w:r>
            <w:r w:rsidR="004573C3" w:rsidRPr="00DD3104">
              <w:rPr>
                <w:sz w:val="23"/>
                <w:szCs w:val="23"/>
              </w:rPr>
              <w:t xml:space="preserve"> limited to the case before the Commission for which the hearing is being held. </w:t>
            </w:r>
            <w:r w:rsidR="00DA5E9E" w:rsidRPr="00DD3104">
              <w:rPr>
                <w:sz w:val="23"/>
                <w:szCs w:val="23"/>
              </w:rPr>
              <w:t>A court reporter will record y</w:t>
            </w:r>
            <w:r w:rsidR="006312CC" w:rsidRPr="00DD3104">
              <w:rPr>
                <w:sz w:val="23"/>
                <w:szCs w:val="23"/>
              </w:rPr>
              <w:t>our statement</w:t>
            </w:r>
            <w:r w:rsidR="00A15263" w:rsidRPr="00DD3104">
              <w:rPr>
                <w:sz w:val="23"/>
                <w:szCs w:val="23"/>
              </w:rPr>
              <w:t>. L</w:t>
            </w:r>
            <w:r w:rsidR="00DA5E9E" w:rsidRPr="00DD3104">
              <w:rPr>
                <w:sz w:val="23"/>
                <w:szCs w:val="23"/>
              </w:rPr>
              <w:t>ater</w:t>
            </w:r>
            <w:r w:rsidR="00A15263" w:rsidRPr="00DD3104">
              <w:rPr>
                <w:sz w:val="23"/>
                <w:szCs w:val="23"/>
              </w:rPr>
              <w:t>,</w:t>
            </w:r>
            <w:r w:rsidR="006312CC" w:rsidRPr="00DD3104">
              <w:rPr>
                <w:sz w:val="23"/>
                <w:szCs w:val="23"/>
              </w:rPr>
              <w:t xml:space="preserve"> a </w:t>
            </w:r>
            <w:r w:rsidR="00A15263" w:rsidRPr="00DD3104">
              <w:rPr>
                <w:sz w:val="23"/>
                <w:szCs w:val="23"/>
              </w:rPr>
              <w:t xml:space="preserve">written </w:t>
            </w:r>
            <w:r w:rsidR="006312CC" w:rsidRPr="00DD3104">
              <w:rPr>
                <w:sz w:val="23"/>
                <w:szCs w:val="23"/>
              </w:rPr>
              <w:t>transcript of the hear</w:t>
            </w:r>
            <w:r w:rsidR="00E279C2" w:rsidRPr="00DD3104">
              <w:rPr>
                <w:sz w:val="23"/>
                <w:szCs w:val="23"/>
              </w:rPr>
              <w:t xml:space="preserve">ing </w:t>
            </w:r>
            <w:r w:rsidR="00A15263" w:rsidRPr="00DD3104">
              <w:rPr>
                <w:sz w:val="23"/>
                <w:szCs w:val="23"/>
              </w:rPr>
              <w:t>will be</w:t>
            </w:r>
            <w:r w:rsidR="00E279C2" w:rsidRPr="00DD3104">
              <w:rPr>
                <w:sz w:val="23"/>
                <w:szCs w:val="23"/>
              </w:rPr>
              <w:t xml:space="preserve"> post</w:t>
            </w:r>
            <w:r w:rsidR="00A15263" w:rsidRPr="00DD3104">
              <w:rPr>
                <w:sz w:val="23"/>
                <w:szCs w:val="23"/>
              </w:rPr>
              <w:t>ed</w:t>
            </w:r>
            <w:r w:rsidR="00E279C2" w:rsidRPr="00DD3104">
              <w:rPr>
                <w:sz w:val="23"/>
                <w:szCs w:val="23"/>
              </w:rPr>
              <w:t xml:space="preserve"> on our website </w:t>
            </w:r>
            <w:r w:rsidRPr="00DD3104">
              <w:rPr>
                <w:sz w:val="23"/>
                <w:szCs w:val="23"/>
              </w:rPr>
              <w:t>under the docket number that we ha</w:t>
            </w:r>
            <w:r w:rsidR="00E279C2" w:rsidRPr="00DD3104">
              <w:rPr>
                <w:sz w:val="23"/>
                <w:szCs w:val="23"/>
              </w:rPr>
              <w:t>ve assigned to the proceeding.</w:t>
            </w:r>
            <w:r w:rsidR="00C67B3C" w:rsidRPr="00DD3104">
              <w:rPr>
                <w:sz w:val="23"/>
                <w:szCs w:val="23"/>
              </w:rPr>
              <w:t xml:space="preserve"> </w:t>
            </w:r>
            <w:r w:rsidR="006312CC" w:rsidRPr="00DD3104">
              <w:rPr>
                <w:sz w:val="23"/>
                <w:szCs w:val="23"/>
              </w:rPr>
              <w:t xml:space="preserve">After you make your statement, </w:t>
            </w:r>
            <w:r w:rsidR="00DA5E9E" w:rsidRPr="00DD3104">
              <w:rPr>
                <w:sz w:val="23"/>
                <w:szCs w:val="23"/>
              </w:rPr>
              <w:t xml:space="preserve">an attorney or </w:t>
            </w:r>
            <w:r w:rsidR="00340E23" w:rsidRPr="00DD3104">
              <w:rPr>
                <w:sz w:val="23"/>
                <w:szCs w:val="23"/>
              </w:rPr>
              <w:t>any</w:t>
            </w:r>
            <w:r w:rsidR="00DA5E9E" w:rsidRPr="00DD3104">
              <w:rPr>
                <w:sz w:val="23"/>
                <w:szCs w:val="23"/>
              </w:rPr>
              <w:t xml:space="preserve"> of the Commissioners </w:t>
            </w:r>
            <w:r w:rsidR="00E279C2" w:rsidRPr="00DD3104">
              <w:rPr>
                <w:sz w:val="23"/>
                <w:szCs w:val="23"/>
              </w:rPr>
              <w:t>may</w:t>
            </w:r>
            <w:r w:rsidR="00DA5E9E" w:rsidRPr="00DD3104">
              <w:rPr>
                <w:sz w:val="23"/>
                <w:szCs w:val="23"/>
              </w:rPr>
              <w:t xml:space="preserve"> ask you </w:t>
            </w:r>
            <w:r w:rsidR="006312CC" w:rsidRPr="00DD3104">
              <w:rPr>
                <w:sz w:val="23"/>
                <w:szCs w:val="23"/>
              </w:rPr>
              <w:t xml:space="preserve">questions.  </w:t>
            </w:r>
            <w:r w:rsidR="00C67B3C" w:rsidRPr="00DD3104">
              <w:rPr>
                <w:sz w:val="23"/>
                <w:szCs w:val="23"/>
              </w:rPr>
              <w:t xml:space="preserve">Remember, this is a legal proceeding, not a town hall or protest meeting. </w:t>
            </w:r>
          </w:p>
        </w:tc>
        <w:tc>
          <w:tcPr>
            <w:tcW w:w="4565" w:type="dxa"/>
            <w:tcMar>
              <w:left w:w="720" w:type="dxa"/>
            </w:tcMar>
          </w:tcPr>
          <w:p w:rsidR="006540EA" w:rsidRPr="00711DDD" w:rsidRDefault="006540EA" w:rsidP="00DD3104">
            <w:pPr>
              <w:pStyle w:val="Heading1"/>
              <w:spacing w:after="120"/>
              <w:rPr>
                <w:sz w:val="38"/>
                <w:szCs w:val="38"/>
              </w:rPr>
            </w:pPr>
            <w:r w:rsidRPr="00711DDD">
              <w:rPr>
                <w:sz w:val="38"/>
                <w:szCs w:val="38"/>
              </w:rPr>
              <w:t xml:space="preserve">The Public Staff </w:t>
            </w:r>
            <w:r w:rsidR="00186757" w:rsidRPr="00711DDD">
              <w:rPr>
                <w:sz w:val="38"/>
                <w:szCs w:val="38"/>
              </w:rPr>
              <w:t>Intervenes on Behalf of the</w:t>
            </w:r>
            <w:r w:rsidR="00A4114E" w:rsidRPr="00711DDD">
              <w:rPr>
                <w:sz w:val="38"/>
                <w:szCs w:val="38"/>
              </w:rPr>
              <w:t xml:space="preserve"> Consuming Public</w:t>
            </w:r>
            <w:r w:rsidRPr="00711DDD">
              <w:rPr>
                <w:sz w:val="38"/>
                <w:szCs w:val="38"/>
              </w:rPr>
              <w:t xml:space="preserve"> </w:t>
            </w:r>
          </w:p>
          <w:p w:rsidR="006540EA" w:rsidRPr="00DD3104" w:rsidRDefault="006540EA" w:rsidP="0063311A">
            <w:pPr>
              <w:rPr>
                <w:sz w:val="23"/>
                <w:szCs w:val="23"/>
              </w:rPr>
            </w:pPr>
            <w:r w:rsidRPr="00DD3104">
              <w:rPr>
                <w:sz w:val="23"/>
                <w:szCs w:val="23"/>
              </w:rPr>
              <w:t xml:space="preserve">The Public Staff-North Carolina Utilities Commission is a separate agency that represents </w:t>
            </w:r>
            <w:r w:rsidR="00770A51" w:rsidRPr="00DD3104">
              <w:rPr>
                <w:sz w:val="23"/>
                <w:szCs w:val="23"/>
              </w:rPr>
              <w:t xml:space="preserve">you, </w:t>
            </w:r>
            <w:r w:rsidR="00A4114E" w:rsidRPr="00DD3104">
              <w:rPr>
                <w:sz w:val="23"/>
                <w:szCs w:val="23"/>
              </w:rPr>
              <w:t>the consuming public</w:t>
            </w:r>
            <w:r w:rsidR="00770A51" w:rsidRPr="00DD3104">
              <w:rPr>
                <w:sz w:val="23"/>
                <w:szCs w:val="23"/>
              </w:rPr>
              <w:t>,</w:t>
            </w:r>
            <w:r w:rsidRPr="00DD3104">
              <w:rPr>
                <w:sz w:val="23"/>
                <w:szCs w:val="23"/>
              </w:rPr>
              <w:t xml:space="preserve"> </w:t>
            </w:r>
            <w:r w:rsidR="00770A51" w:rsidRPr="00DD3104">
              <w:rPr>
                <w:sz w:val="23"/>
                <w:szCs w:val="23"/>
              </w:rPr>
              <w:t xml:space="preserve">in all matters </w:t>
            </w:r>
            <w:r w:rsidRPr="00DD3104">
              <w:rPr>
                <w:sz w:val="23"/>
                <w:szCs w:val="23"/>
              </w:rPr>
              <w:t>before the Utilities Commission. A Public Staff attorney will be at the hearing and can answer your questions</w:t>
            </w:r>
            <w:r w:rsidR="00340E23" w:rsidRPr="00DD3104">
              <w:rPr>
                <w:sz w:val="23"/>
                <w:szCs w:val="23"/>
              </w:rPr>
              <w:t xml:space="preserve"> before and after the hearing</w:t>
            </w:r>
            <w:r w:rsidRPr="00DD3104">
              <w:rPr>
                <w:sz w:val="23"/>
                <w:szCs w:val="23"/>
              </w:rPr>
              <w:t>.</w:t>
            </w:r>
          </w:p>
          <w:p w:rsidR="006540EA" w:rsidRPr="00DD3104" w:rsidRDefault="006540EA" w:rsidP="0063311A">
            <w:pPr>
              <w:rPr>
                <w:sz w:val="23"/>
                <w:szCs w:val="23"/>
              </w:rPr>
            </w:pPr>
            <w:r w:rsidRPr="00DD3104">
              <w:rPr>
                <w:sz w:val="23"/>
                <w:szCs w:val="23"/>
              </w:rPr>
              <w:t>The Public Staff has 80 employees, mostly accountants, engineers, and attorneys. They audit and investi</w:t>
            </w:r>
            <w:r w:rsidR="002244D9" w:rsidRPr="00DD3104">
              <w:rPr>
                <w:sz w:val="23"/>
                <w:szCs w:val="23"/>
              </w:rPr>
              <w:t>gate utility requests for price</w:t>
            </w:r>
            <w:r w:rsidRPr="00DD3104">
              <w:rPr>
                <w:sz w:val="23"/>
                <w:szCs w:val="23"/>
              </w:rPr>
              <w:t xml:space="preserve"> increases and major facilities.</w:t>
            </w:r>
            <w:r w:rsidR="00340E23" w:rsidRPr="00DD3104">
              <w:rPr>
                <w:sz w:val="23"/>
                <w:szCs w:val="23"/>
              </w:rPr>
              <w:t xml:space="preserve"> They are not employees of the Commission.</w:t>
            </w:r>
          </w:p>
          <w:p w:rsidR="006540EA" w:rsidRPr="00DD3104" w:rsidRDefault="00A15263" w:rsidP="0063311A">
            <w:pPr>
              <w:rPr>
                <w:sz w:val="23"/>
                <w:szCs w:val="23"/>
              </w:rPr>
            </w:pPr>
            <w:r w:rsidRPr="00DD3104">
              <w:rPr>
                <w:sz w:val="23"/>
                <w:szCs w:val="23"/>
              </w:rPr>
              <w:t>In addition, t</w:t>
            </w:r>
            <w:r w:rsidR="006540EA" w:rsidRPr="00DD3104">
              <w:rPr>
                <w:sz w:val="23"/>
                <w:szCs w:val="23"/>
              </w:rPr>
              <w:t xml:space="preserve">he Consumer Services division of the Public Staff mediates </w:t>
            </w:r>
            <w:r w:rsidR="00340E23" w:rsidRPr="00DD3104">
              <w:rPr>
                <w:sz w:val="23"/>
                <w:szCs w:val="23"/>
              </w:rPr>
              <w:t xml:space="preserve">certain </w:t>
            </w:r>
            <w:r w:rsidR="00770A51" w:rsidRPr="00DD3104">
              <w:rPr>
                <w:sz w:val="23"/>
                <w:szCs w:val="23"/>
              </w:rPr>
              <w:t xml:space="preserve">billing and service </w:t>
            </w:r>
            <w:r w:rsidR="006540EA" w:rsidRPr="00DD3104">
              <w:rPr>
                <w:sz w:val="23"/>
                <w:szCs w:val="23"/>
              </w:rPr>
              <w:t>disputes that customers have with their utilities. You can reach them toll-free at</w:t>
            </w:r>
            <w:r w:rsidR="00DD3104">
              <w:rPr>
                <w:sz w:val="23"/>
                <w:szCs w:val="23"/>
              </w:rPr>
              <w:t xml:space="preserve"> </w:t>
            </w:r>
            <w:r w:rsidR="006540EA" w:rsidRPr="00DD3104">
              <w:rPr>
                <w:sz w:val="23"/>
                <w:szCs w:val="23"/>
              </w:rPr>
              <w:t>866-380-9816.</w:t>
            </w:r>
          </w:p>
          <w:p w:rsidR="00EA365E" w:rsidRPr="00711DDD" w:rsidRDefault="00B437E1" w:rsidP="00DD3104">
            <w:pPr>
              <w:pStyle w:val="Heading1"/>
              <w:spacing w:after="120"/>
            </w:pPr>
            <w:r w:rsidRPr="00711DDD">
              <w:t>If You</w:t>
            </w:r>
            <w:r w:rsidR="007E3C95">
              <w:t xml:space="preserve"> Would</w:t>
            </w:r>
            <w:r w:rsidRPr="00711DDD">
              <w:t xml:space="preserve"> Rather </w:t>
            </w:r>
            <w:r w:rsidR="007E3C95">
              <w:br/>
            </w:r>
            <w:r w:rsidRPr="00711DDD">
              <w:t>Not T</w:t>
            </w:r>
            <w:r w:rsidR="002244D9" w:rsidRPr="00711DDD">
              <w:t>estify</w:t>
            </w:r>
          </w:p>
          <w:p w:rsidR="00307EC9" w:rsidRPr="006540EA" w:rsidRDefault="002244D9" w:rsidP="002244D9">
            <w:pPr>
              <w:rPr>
                <w:sz w:val="24"/>
              </w:rPr>
            </w:pPr>
            <w:r w:rsidRPr="002244D9">
              <w:rPr>
                <w:sz w:val="24"/>
              </w:rPr>
              <w:t xml:space="preserve">You can </w:t>
            </w:r>
            <w:r>
              <w:rPr>
                <w:sz w:val="24"/>
              </w:rPr>
              <w:t>write us a letter</w:t>
            </w:r>
            <w:r w:rsidR="00B437E1">
              <w:rPr>
                <w:sz w:val="24"/>
              </w:rPr>
              <w:t>,</w:t>
            </w:r>
            <w:r>
              <w:rPr>
                <w:sz w:val="24"/>
              </w:rPr>
              <w:t xml:space="preserve"> or </w:t>
            </w:r>
            <w:r w:rsidRPr="002244D9">
              <w:rPr>
                <w:sz w:val="24"/>
              </w:rPr>
              <w:t xml:space="preserve">email us at: </w:t>
            </w:r>
            <w:hyperlink r:id="rId13" w:history="1">
              <w:r w:rsidRPr="00B437E1">
                <w:rPr>
                  <w:rStyle w:val="Hyperlink"/>
                  <w:sz w:val="24"/>
                  <w:u w:val="none"/>
                </w:rPr>
                <w:t>statements@ncuc.net</w:t>
              </w:r>
            </w:hyperlink>
            <w:r w:rsidRPr="00B437E1">
              <w:rPr>
                <w:sz w:val="24"/>
              </w:rPr>
              <w:t xml:space="preserve">  </w:t>
            </w:r>
            <w:r w:rsidR="006540EA" w:rsidRPr="00B437E1">
              <w:rPr>
                <w:sz w:val="28"/>
              </w:rPr>
              <w:t xml:space="preserve"> </w:t>
            </w:r>
          </w:p>
        </w:tc>
      </w:tr>
    </w:tbl>
    <w:p w:rsidR="009915C8" w:rsidRDefault="009915C8" w:rsidP="00DD3104">
      <w:pPr>
        <w:pStyle w:val="NoSpacing"/>
      </w:pPr>
    </w:p>
    <w:sectPr w:rsidR="009915C8" w:rsidSect="00592F8F">
      <w:pgSz w:w="15840" w:h="12240" w:orient="landscape" w:code="1"/>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762" w:rsidRDefault="00326762" w:rsidP="00BF6AFD">
      <w:pPr>
        <w:spacing w:after="0" w:line="240" w:lineRule="auto"/>
      </w:pPr>
      <w:r>
        <w:separator/>
      </w:r>
    </w:p>
  </w:endnote>
  <w:endnote w:type="continuationSeparator" w:id="0">
    <w:p w:rsidR="00326762" w:rsidRDefault="00326762"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762" w:rsidRDefault="00326762" w:rsidP="00BF6AFD">
      <w:pPr>
        <w:spacing w:after="0" w:line="240" w:lineRule="auto"/>
      </w:pPr>
      <w:r>
        <w:separator/>
      </w:r>
    </w:p>
  </w:footnote>
  <w:footnote w:type="continuationSeparator" w:id="0">
    <w:p w:rsidR="00326762" w:rsidRDefault="00326762" w:rsidP="00BF6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E57E2C"/>
    <w:multiLevelType w:val="hybridMultilevel"/>
    <w:tmpl w:val="B8FA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C9"/>
    <w:rsid w:val="0002227F"/>
    <w:rsid w:val="000C2867"/>
    <w:rsid w:val="001372C8"/>
    <w:rsid w:val="00165EF7"/>
    <w:rsid w:val="00186757"/>
    <w:rsid w:val="001947E7"/>
    <w:rsid w:val="001D0847"/>
    <w:rsid w:val="001E16A4"/>
    <w:rsid w:val="00207CFA"/>
    <w:rsid w:val="002244D9"/>
    <w:rsid w:val="00227118"/>
    <w:rsid w:val="00254B64"/>
    <w:rsid w:val="00307EC9"/>
    <w:rsid w:val="00326762"/>
    <w:rsid w:val="00340E23"/>
    <w:rsid w:val="00365EBB"/>
    <w:rsid w:val="003B391D"/>
    <w:rsid w:val="00422379"/>
    <w:rsid w:val="004573C3"/>
    <w:rsid w:val="0048634A"/>
    <w:rsid w:val="00495FC9"/>
    <w:rsid w:val="004A318A"/>
    <w:rsid w:val="004D2CBA"/>
    <w:rsid w:val="005259A3"/>
    <w:rsid w:val="005473B9"/>
    <w:rsid w:val="0056054A"/>
    <w:rsid w:val="00571D35"/>
    <w:rsid w:val="00581B61"/>
    <w:rsid w:val="00592F8F"/>
    <w:rsid w:val="005E5178"/>
    <w:rsid w:val="006312CC"/>
    <w:rsid w:val="0063311A"/>
    <w:rsid w:val="00641138"/>
    <w:rsid w:val="006540EA"/>
    <w:rsid w:val="0066422A"/>
    <w:rsid w:val="00683026"/>
    <w:rsid w:val="0068396D"/>
    <w:rsid w:val="00685054"/>
    <w:rsid w:val="006A2E06"/>
    <w:rsid w:val="007014C5"/>
    <w:rsid w:val="00711DDD"/>
    <w:rsid w:val="007510BC"/>
    <w:rsid w:val="007647EF"/>
    <w:rsid w:val="00770A51"/>
    <w:rsid w:val="007E3C3A"/>
    <w:rsid w:val="007E3C95"/>
    <w:rsid w:val="0089764D"/>
    <w:rsid w:val="008B000B"/>
    <w:rsid w:val="008B0FA6"/>
    <w:rsid w:val="008D6E0A"/>
    <w:rsid w:val="008E433A"/>
    <w:rsid w:val="00960A60"/>
    <w:rsid w:val="009915C8"/>
    <w:rsid w:val="009A1D1B"/>
    <w:rsid w:val="009E3465"/>
    <w:rsid w:val="009F2C2E"/>
    <w:rsid w:val="009F3198"/>
    <w:rsid w:val="00A15263"/>
    <w:rsid w:val="00A4114E"/>
    <w:rsid w:val="00A54316"/>
    <w:rsid w:val="00A769D1"/>
    <w:rsid w:val="00A85868"/>
    <w:rsid w:val="00A95BFB"/>
    <w:rsid w:val="00AA60F2"/>
    <w:rsid w:val="00AB72BA"/>
    <w:rsid w:val="00AD7341"/>
    <w:rsid w:val="00AF75DD"/>
    <w:rsid w:val="00B03F98"/>
    <w:rsid w:val="00B16D26"/>
    <w:rsid w:val="00B351B3"/>
    <w:rsid w:val="00B437E1"/>
    <w:rsid w:val="00BC5C9A"/>
    <w:rsid w:val="00BD22D9"/>
    <w:rsid w:val="00BE4263"/>
    <w:rsid w:val="00BF6AFD"/>
    <w:rsid w:val="00C476E1"/>
    <w:rsid w:val="00C56A1F"/>
    <w:rsid w:val="00C67B3C"/>
    <w:rsid w:val="00C739CB"/>
    <w:rsid w:val="00C82562"/>
    <w:rsid w:val="00CD1DEA"/>
    <w:rsid w:val="00D17540"/>
    <w:rsid w:val="00D21D0F"/>
    <w:rsid w:val="00D27440"/>
    <w:rsid w:val="00D61E3B"/>
    <w:rsid w:val="00DA183D"/>
    <w:rsid w:val="00DA5E9E"/>
    <w:rsid w:val="00DB0A7A"/>
    <w:rsid w:val="00DB5D32"/>
    <w:rsid w:val="00DD3104"/>
    <w:rsid w:val="00E279C2"/>
    <w:rsid w:val="00E656CC"/>
    <w:rsid w:val="00EA365E"/>
    <w:rsid w:val="00ED0075"/>
    <w:rsid w:val="00EE0A38"/>
    <w:rsid w:val="00EF0022"/>
    <w:rsid w:val="00F21088"/>
    <w:rsid w:val="00F256A4"/>
    <w:rsid w:val="00F65FF0"/>
    <w:rsid w:val="00F66B21"/>
    <w:rsid w:val="00F83409"/>
    <w:rsid w:val="00FA07B2"/>
    <w:rsid w:val="00FB2177"/>
    <w:rsid w:val="00FD4131"/>
    <w:rsid w:val="00FD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2926BB5F-217C-449E-A8D4-8D432E78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D1"/>
  </w:style>
  <w:style w:type="paragraph" w:styleId="Heading1">
    <w:name w:val="heading 1"/>
    <w:basedOn w:val="Normal"/>
    <w:next w:val="Normal"/>
    <w:link w:val="Heading1Char"/>
    <w:uiPriority w:val="1"/>
    <w:qFormat/>
    <w:rsid w:val="00711DDD"/>
    <w:pPr>
      <w:keepNext/>
      <w:keepLines/>
      <w:spacing w:before="200" w:after="0" w:line="216" w:lineRule="auto"/>
      <w:outlineLvl w:val="0"/>
    </w:pPr>
    <w:rPr>
      <w:rFonts w:asciiTheme="majorHAnsi" w:eastAsiaTheme="majorEastAsia" w:hAnsiTheme="majorHAnsi" w:cstheme="majorBidi"/>
      <w:b/>
      <w:bCs/>
      <w:color w:val="0070C0"/>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sid w:val="00711DDD"/>
    <w:rPr>
      <w:rFonts w:asciiTheme="majorHAnsi" w:eastAsiaTheme="majorEastAsia" w:hAnsiTheme="majorHAnsi" w:cstheme="majorBidi"/>
      <w:b/>
      <w:bCs/>
      <w:color w:val="0070C0"/>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atements@ncuc.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ones\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761509654C8FBEABC30B2B6B66FF"/>
        <w:category>
          <w:name w:val="General"/>
          <w:gallery w:val="placeholder"/>
        </w:category>
        <w:types>
          <w:type w:val="bbPlcHdr"/>
        </w:types>
        <w:behaviors>
          <w:behavior w:val="content"/>
        </w:behaviors>
        <w:guid w:val="{AA9AE97D-4F75-47F5-9B41-11025B2F80B2}"/>
      </w:docPartPr>
      <w:docPartBody>
        <w:p w:rsidR="00D57F23" w:rsidRDefault="002B49F2" w:rsidP="002B49F2">
          <w:pPr>
            <w:pStyle w:val="E680761509654C8FBEABC30B2B6B66FF"/>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C02"/>
    <w:rsid w:val="00295C02"/>
    <w:rsid w:val="002B49F2"/>
    <w:rsid w:val="007607C1"/>
    <w:rsid w:val="00D57F23"/>
    <w:rsid w:val="00E047E9"/>
    <w:rsid w:val="00EF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D45C7E98A4611A06494DD210AC030">
    <w:name w:val="262D45C7E98A4611A06494DD210AC030"/>
  </w:style>
  <w:style w:type="paragraph" w:customStyle="1" w:styleId="F82E4B8C976E4C3284AEED67088CDF04">
    <w:name w:val="F82E4B8C976E4C3284AEED67088CDF04"/>
  </w:style>
  <w:style w:type="paragraph" w:customStyle="1" w:styleId="FADD26EFAA5C42C7A30B8E8A6AD8072B">
    <w:name w:val="FADD26EFAA5C42C7A30B8E8A6AD8072B"/>
  </w:style>
  <w:style w:type="paragraph" w:styleId="ListBullet">
    <w:name w:val="List Bullet"/>
    <w:basedOn w:val="Normal"/>
    <w:uiPriority w:val="1"/>
    <w:pPr>
      <w:numPr>
        <w:numId w:val="1"/>
      </w:numPr>
      <w:spacing w:after="200" w:line="288" w:lineRule="auto"/>
    </w:pPr>
    <w:rPr>
      <w:rFonts w:eastAsiaTheme="minorHAnsi"/>
      <w:color w:val="50637D" w:themeColor="text2" w:themeTint="E6"/>
      <w:lang w:eastAsia="ja-JP"/>
    </w:rPr>
  </w:style>
  <w:style w:type="paragraph" w:customStyle="1" w:styleId="4B91725C0DDA49EABC8C9D02ECE04C53">
    <w:name w:val="4B91725C0DDA49EABC8C9D02ECE04C53"/>
  </w:style>
  <w:style w:type="character" w:styleId="PlaceholderText">
    <w:name w:val="Placeholder Text"/>
    <w:basedOn w:val="DefaultParagraphFont"/>
    <w:uiPriority w:val="99"/>
    <w:semiHidden/>
    <w:rPr>
      <w:color w:val="808080"/>
    </w:rPr>
  </w:style>
  <w:style w:type="paragraph" w:customStyle="1" w:styleId="3C9D1E30E4A4452FBDD4F00A65C5A7D1">
    <w:name w:val="3C9D1E30E4A4452FBDD4F00A65C5A7D1"/>
  </w:style>
  <w:style w:type="paragraph" w:customStyle="1" w:styleId="7DE208CF55FC44A584C73A361690209F">
    <w:name w:val="7DE208CF55FC44A584C73A361690209F"/>
  </w:style>
  <w:style w:type="paragraph" w:customStyle="1" w:styleId="C32E9B85DD9D4EF7A94EE20296EFF9D0">
    <w:name w:val="C32E9B85DD9D4EF7A94EE20296EFF9D0"/>
  </w:style>
  <w:style w:type="paragraph" w:customStyle="1" w:styleId="DAF2353D43EB454CBD0F00E1F9784F65">
    <w:name w:val="DAF2353D43EB454CBD0F00E1F9784F65"/>
  </w:style>
  <w:style w:type="paragraph" w:customStyle="1" w:styleId="4727DBD622BA4D47851D7334110894E0">
    <w:name w:val="4727DBD622BA4D47851D7334110894E0"/>
  </w:style>
  <w:style w:type="paragraph" w:customStyle="1" w:styleId="EDBF8FE0E8004DFF88D4CEFF9FD2C0F0">
    <w:name w:val="EDBF8FE0E8004DFF88D4CEFF9FD2C0F0"/>
  </w:style>
  <w:style w:type="paragraph" w:customStyle="1" w:styleId="510F88111F0746109A41114BC9EF8552">
    <w:name w:val="510F88111F0746109A41114BC9EF8552"/>
  </w:style>
  <w:style w:type="paragraph" w:customStyle="1" w:styleId="8330ABE1C8884379BB4FBD72DBA099D3">
    <w:name w:val="8330ABE1C8884379BB4FBD72DBA099D3"/>
  </w:style>
  <w:style w:type="paragraph" w:customStyle="1" w:styleId="AEDAF879E9CA4FFFA979D8CB699E3E58">
    <w:name w:val="AEDAF879E9CA4FFFA979D8CB699E3E58"/>
  </w:style>
  <w:style w:type="paragraph" w:customStyle="1" w:styleId="2EDE939CF00949E39E728B63A80B56DC">
    <w:name w:val="2EDE939CF00949E39E728B63A80B56DC"/>
  </w:style>
  <w:style w:type="paragraph" w:customStyle="1" w:styleId="FA48048CFD114098B03C3903CF02F89D">
    <w:name w:val="FA48048CFD114098B03C3903CF02F89D"/>
  </w:style>
  <w:style w:type="paragraph" w:customStyle="1" w:styleId="C3CD30EC4D1442BBBE9FE18BDB956FB6">
    <w:name w:val="C3CD30EC4D1442BBBE9FE18BDB956FB6"/>
  </w:style>
  <w:style w:type="paragraph" w:customStyle="1" w:styleId="D0DA03F2693C4AA6861D85F7A99B35D4">
    <w:name w:val="D0DA03F2693C4AA6861D85F7A99B35D4"/>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lang w:eastAsia="ja-JP"/>
    </w:rPr>
  </w:style>
  <w:style w:type="paragraph" w:customStyle="1" w:styleId="EDE952A56CBF441490EF33DA27DF5483">
    <w:name w:val="EDE952A56CBF441490EF33DA27DF5483"/>
  </w:style>
  <w:style w:type="paragraph" w:customStyle="1" w:styleId="CBF9B00B809B40B691F5CDDBB54227D4">
    <w:name w:val="CBF9B00B809B40B691F5CDDBB54227D4"/>
  </w:style>
  <w:style w:type="paragraph" w:customStyle="1" w:styleId="92E6245A15104E4EA0D8D816A10E8DDD">
    <w:name w:val="92E6245A15104E4EA0D8D816A10E8DDD"/>
  </w:style>
  <w:style w:type="paragraph" w:customStyle="1" w:styleId="5FA524BD021F41C9BD9C46CA761EC3FC">
    <w:name w:val="5FA524BD021F41C9BD9C46CA761EC3FC"/>
  </w:style>
  <w:style w:type="paragraph" w:customStyle="1" w:styleId="BF3FC5019C2A4CCB9FE70E12A796381A">
    <w:name w:val="BF3FC5019C2A4CCB9FE70E12A796381A"/>
  </w:style>
  <w:style w:type="paragraph" w:customStyle="1" w:styleId="028F7041E1B84E1AAC00DF629B658639">
    <w:name w:val="028F7041E1B84E1AAC00DF629B658639"/>
  </w:style>
  <w:style w:type="paragraph" w:customStyle="1" w:styleId="4AC43CC7F61B4245BFD4D714A9A6E5E8">
    <w:name w:val="4AC43CC7F61B4245BFD4D714A9A6E5E8"/>
  </w:style>
  <w:style w:type="paragraph" w:customStyle="1" w:styleId="8F7D5BF4630940048395E912A1A466EC">
    <w:name w:val="8F7D5BF4630940048395E912A1A466EC"/>
  </w:style>
  <w:style w:type="paragraph" w:customStyle="1" w:styleId="A3955683BEA0424392DEF00658449B45">
    <w:name w:val="A3955683BEA0424392DEF00658449B45"/>
  </w:style>
  <w:style w:type="paragraph" w:customStyle="1" w:styleId="26E88DBF95674BE2A8A343F0CFF6DC5B">
    <w:name w:val="26E88DBF95674BE2A8A343F0CFF6DC5B"/>
  </w:style>
  <w:style w:type="paragraph" w:customStyle="1" w:styleId="A718EDB81E9F4963B3D6C4548FF0D322">
    <w:name w:val="A718EDB81E9F4963B3D6C4548FF0D322"/>
  </w:style>
  <w:style w:type="paragraph" w:customStyle="1" w:styleId="FC16957A8D9E4712BF6EB2D4490B264D">
    <w:name w:val="FC16957A8D9E4712BF6EB2D4490B264D"/>
  </w:style>
  <w:style w:type="paragraph" w:customStyle="1" w:styleId="5539A1A7ACED453ABEB15CB39952057B">
    <w:name w:val="5539A1A7ACED453ABEB15CB39952057B"/>
    <w:rsid w:val="00295C02"/>
  </w:style>
  <w:style w:type="paragraph" w:customStyle="1" w:styleId="E6DAF12FE1494278A9801CEA638DF2D9">
    <w:name w:val="E6DAF12FE1494278A9801CEA638DF2D9"/>
    <w:rsid w:val="00295C02"/>
  </w:style>
  <w:style w:type="paragraph" w:customStyle="1" w:styleId="EB3B45C6AD054DD5AAC9CEB50A542614">
    <w:name w:val="EB3B45C6AD054DD5AAC9CEB50A542614"/>
    <w:rsid w:val="002B49F2"/>
  </w:style>
  <w:style w:type="paragraph" w:customStyle="1" w:styleId="E680761509654C8FBEABC30B2B6B66FF">
    <w:name w:val="E680761509654C8FBEABC30B2B6B66FF"/>
    <w:rsid w:val="002B49F2"/>
  </w:style>
  <w:style w:type="paragraph" w:customStyle="1" w:styleId="CE38993095D0413EBE634A9C1BB31074">
    <w:name w:val="CE38993095D0413EBE634A9C1BB31074"/>
    <w:rsid w:val="002B49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ABE44320-BEBD-4D1C-9104-5D8258A41C1D}">
  <ds:schemaRefs>
    <ds:schemaRef ds:uri="http://schemas.microsoft.com/sharepoint/v3/contenttype/forms"/>
  </ds:schemaRefs>
</ds:datastoreItem>
</file>

<file path=customXml/itemProps2.xml><?xml version="1.0" encoding="utf-8"?>
<ds:datastoreItem xmlns:ds="http://schemas.openxmlformats.org/officeDocument/2006/customXml" ds:itemID="{547F07B8-09AD-4EE6-8E3A-01F801851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3A203-2A21-4C04-ACB1-4635A1CD0569}">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Brochure.dotx</Template>
  <TotalTime>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Kim</dc:creator>
  <cp:keywords>North carolina                     UTILITIES Commission</cp:keywords>
  <cp:lastModifiedBy>Hardy, Hubert</cp:lastModifiedBy>
  <cp:revision>2</cp:revision>
  <cp:lastPrinted>2018-01-10T16:27:00Z</cp:lastPrinted>
  <dcterms:created xsi:type="dcterms:W3CDTF">2018-10-10T18:39:00Z</dcterms:created>
  <dcterms:modified xsi:type="dcterms:W3CDTF">2018-10-10T18:39:00Z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